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8" w:rsidRPr="00B21AA8" w:rsidRDefault="00B21AA8" w:rsidP="00B21AA8">
      <w:pPr>
        <w:spacing w:line="276" w:lineRule="auto"/>
        <w:ind w:firstLine="720"/>
        <w:jc w:val="center"/>
        <w:rPr>
          <w:rFonts w:ascii="Times New Roman" w:hAnsi="Times New Roman" w:cs="Times New Roman"/>
          <w:b/>
          <w:bCs/>
          <w:sz w:val="28"/>
          <w:szCs w:val="28"/>
        </w:rPr>
      </w:pPr>
      <w:r w:rsidRPr="00B21AA8">
        <w:rPr>
          <w:rFonts w:ascii="Times New Roman" w:hAnsi="Times New Roman" w:cs="Times New Roman"/>
          <w:b/>
          <w:bCs/>
          <w:sz w:val="28"/>
          <w:szCs w:val="28"/>
        </w:rPr>
        <w:t>DANH MỤC THỦ TỤC HÀNH CHÍNH LĨNH VỰC GIẢI QUYẾT TỐ CÁO THUỘC THẨM QUYỀN GIẢI QUYẾT CỦA UBND CẤP XÃ</w:t>
      </w:r>
    </w:p>
    <w:p w:rsidR="00B21AA8" w:rsidRDefault="00B21AA8" w:rsidP="00B21AA8">
      <w:pPr>
        <w:spacing w:line="276" w:lineRule="auto"/>
        <w:ind w:firstLine="720"/>
        <w:jc w:val="center"/>
        <w:rPr>
          <w:rFonts w:ascii="Times New Roman" w:hAnsi="Times New Roman" w:cs="Times New Roman"/>
          <w:bCs/>
          <w:i/>
          <w:sz w:val="28"/>
          <w:szCs w:val="28"/>
        </w:rPr>
      </w:pPr>
      <w:r w:rsidRPr="00B21AA8">
        <w:rPr>
          <w:rFonts w:ascii="Times New Roman" w:hAnsi="Times New Roman" w:cs="Times New Roman"/>
          <w:bCs/>
          <w:i/>
          <w:sz w:val="28"/>
          <w:szCs w:val="28"/>
        </w:rPr>
        <w:t xml:space="preserve">(Ban hành kèm </w:t>
      </w:r>
      <w:proofErr w:type="gramStart"/>
      <w:r w:rsidRPr="00B21AA8">
        <w:rPr>
          <w:rFonts w:ascii="Times New Roman" w:hAnsi="Times New Roman" w:cs="Times New Roman"/>
          <w:bCs/>
          <w:i/>
          <w:sz w:val="28"/>
          <w:szCs w:val="28"/>
        </w:rPr>
        <w:t>theo</w:t>
      </w:r>
      <w:proofErr w:type="gramEnd"/>
      <w:r w:rsidRPr="00B21AA8">
        <w:rPr>
          <w:rFonts w:ascii="Times New Roman" w:hAnsi="Times New Roman" w:cs="Times New Roman"/>
          <w:bCs/>
          <w:i/>
          <w:sz w:val="28"/>
          <w:szCs w:val="28"/>
        </w:rPr>
        <w:t xml:space="preserve"> QĐ số 2410/QĐ-UBND</w:t>
      </w:r>
      <w:r>
        <w:rPr>
          <w:rFonts w:ascii="Times New Roman" w:hAnsi="Times New Roman" w:cs="Times New Roman"/>
          <w:bCs/>
          <w:i/>
          <w:sz w:val="28"/>
          <w:szCs w:val="28"/>
        </w:rPr>
        <w:t xml:space="preserve"> ngày 20/11/2020</w:t>
      </w:r>
    </w:p>
    <w:p w:rsidR="00B21AA8" w:rsidRPr="00B21AA8" w:rsidRDefault="00B21AA8" w:rsidP="00B21AA8">
      <w:pPr>
        <w:spacing w:line="276" w:lineRule="auto"/>
        <w:ind w:firstLine="720"/>
        <w:jc w:val="center"/>
        <w:rPr>
          <w:rFonts w:ascii="Times New Roman" w:hAnsi="Times New Roman" w:cs="Times New Roman"/>
          <w:bCs/>
          <w:i/>
          <w:sz w:val="28"/>
          <w:szCs w:val="28"/>
        </w:rPr>
      </w:pPr>
      <w:proofErr w:type="gramStart"/>
      <w:r w:rsidRPr="00B21AA8">
        <w:rPr>
          <w:rFonts w:ascii="Times New Roman" w:hAnsi="Times New Roman" w:cs="Times New Roman"/>
          <w:bCs/>
          <w:i/>
          <w:sz w:val="28"/>
          <w:szCs w:val="28"/>
        </w:rPr>
        <w:t>của</w:t>
      </w:r>
      <w:proofErr w:type="gramEnd"/>
      <w:r w:rsidRPr="00B21AA8">
        <w:rPr>
          <w:rFonts w:ascii="Times New Roman" w:hAnsi="Times New Roman" w:cs="Times New Roman"/>
          <w:bCs/>
          <w:i/>
          <w:sz w:val="28"/>
          <w:szCs w:val="28"/>
        </w:rPr>
        <w:t xml:space="preserve"> Chủ tịch UBND tỉnh Lạng Sơn)</w:t>
      </w:r>
    </w:p>
    <w:p w:rsidR="00B21AA8" w:rsidRPr="00B21AA8" w:rsidRDefault="00B21AA8" w:rsidP="00B21AA8">
      <w:pPr>
        <w:spacing w:line="276" w:lineRule="auto"/>
        <w:ind w:firstLine="720"/>
        <w:jc w:val="center"/>
        <w:rPr>
          <w:rFonts w:ascii="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416"/>
        <w:gridCol w:w="1996"/>
      </w:tblGrid>
      <w:tr w:rsidR="001228B6" w:rsidRPr="001228B6" w:rsidTr="001228B6">
        <w:tc>
          <w:tcPr>
            <w:tcW w:w="3205" w:type="dxa"/>
            <w:shd w:val="clear" w:color="auto" w:fill="auto"/>
          </w:tcPr>
          <w:p w:rsidR="00B21AA8" w:rsidRPr="001228B6" w:rsidRDefault="00B21AA8" w:rsidP="001228B6">
            <w:pPr>
              <w:spacing w:before="240" w:after="240" w:line="276" w:lineRule="auto"/>
              <w:jc w:val="center"/>
              <w:rPr>
                <w:rFonts w:ascii="Times New Roman" w:hAnsi="Times New Roman" w:cs="Times New Roman"/>
                <w:b/>
                <w:bCs/>
                <w:sz w:val="28"/>
                <w:szCs w:val="28"/>
              </w:rPr>
            </w:pPr>
            <w:r w:rsidRPr="001228B6">
              <w:rPr>
                <w:rFonts w:ascii="Times New Roman" w:hAnsi="Times New Roman" w:cs="Times New Roman"/>
                <w:b/>
                <w:bCs/>
                <w:sz w:val="28"/>
                <w:szCs w:val="28"/>
              </w:rPr>
              <w:t>Số TT</w:t>
            </w:r>
          </w:p>
        </w:tc>
        <w:tc>
          <w:tcPr>
            <w:tcW w:w="4416" w:type="dxa"/>
            <w:shd w:val="clear" w:color="auto" w:fill="auto"/>
          </w:tcPr>
          <w:p w:rsidR="00B21AA8" w:rsidRPr="001228B6" w:rsidRDefault="00B21AA8" w:rsidP="001228B6">
            <w:pPr>
              <w:spacing w:before="240" w:after="240" w:line="276" w:lineRule="auto"/>
              <w:jc w:val="center"/>
              <w:rPr>
                <w:rFonts w:ascii="Times New Roman" w:hAnsi="Times New Roman" w:cs="Times New Roman"/>
                <w:b/>
                <w:bCs/>
                <w:sz w:val="28"/>
                <w:szCs w:val="28"/>
              </w:rPr>
            </w:pPr>
            <w:r w:rsidRPr="001228B6">
              <w:rPr>
                <w:rFonts w:ascii="Times New Roman" w:hAnsi="Times New Roman" w:cs="Times New Roman"/>
                <w:b/>
                <w:bCs/>
                <w:sz w:val="28"/>
                <w:szCs w:val="28"/>
              </w:rPr>
              <w:t>Tên TTHC</w:t>
            </w:r>
          </w:p>
        </w:tc>
        <w:tc>
          <w:tcPr>
            <w:tcW w:w="1996" w:type="dxa"/>
            <w:shd w:val="clear" w:color="auto" w:fill="auto"/>
          </w:tcPr>
          <w:p w:rsidR="00B21AA8" w:rsidRPr="001228B6" w:rsidRDefault="00B21AA8" w:rsidP="001228B6">
            <w:pPr>
              <w:spacing w:before="240" w:after="240" w:line="276" w:lineRule="auto"/>
              <w:jc w:val="center"/>
              <w:rPr>
                <w:rFonts w:ascii="Times New Roman" w:hAnsi="Times New Roman" w:cs="Times New Roman"/>
                <w:b/>
                <w:bCs/>
                <w:sz w:val="28"/>
                <w:szCs w:val="28"/>
              </w:rPr>
            </w:pPr>
            <w:r w:rsidRPr="001228B6">
              <w:rPr>
                <w:rFonts w:ascii="Times New Roman" w:hAnsi="Times New Roman" w:cs="Times New Roman"/>
                <w:b/>
                <w:bCs/>
                <w:sz w:val="28"/>
                <w:szCs w:val="28"/>
              </w:rPr>
              <w:t>Trang</w:t>
            </w:r>
          </w:p>
        </w:tc>
      </w:tr>
      <w:tr w:rsidR="001228B6" w:rsidRPr="001228B6" w:rsidTr="001228B6">
        <w:tc>
          <w:tcPr>
            <w:tcW w:w="3205" w:type="dxa"/>
            <w:shd w:val="clear" w:color="auto" w:fill="auto"/>
          </w:tcPr>
          <w:p w:rsidR="00B21AA8" w:rsidRPr="001228B6" w:rsidRDefault="00B21AA8" w:rsidP="001228B6">
            <w:pPr>
              <w:spacing w:before="240" w:after="240" w:line="276" w:lineRule="auto"/>
              <w:jc w:val="center"/>
              <w:rPr>
                <w:rFonts w:ascii="Times New Roman" w:hAnsi="Times New Roman" w:cs="Times New Roman"/>
                <w:bCs/>
                <w:sz w:val="28"/>
                <w:szCs w:val="28"/>
              </w:rPr>
            </w:pPr>
            <w:r w:rsidRPr="001228B6">
              <w:rPr>
                <w:rFonts w:ascii="Times New Roman" w:hAnsi="Times New Roman" w:cs="Times New Roman"/>
                <w:bCs/>
                <w:sz w:val="28"/>
                <w:szCs w:val="28"/>
              </w:rPr>
              <w:t>01</w:t>
            </w:r>
          </w:p>
        </w:tc>
        <w:tc>
          <w:tcPr>
            <w:tcW w:w="4416" w:type="dxa"/>
            <w:shd w:val="clear" w:color="auto" w:fill="auto"/>
          </w:tcPr>
          <w:p w:rsidR="00B21AA8" w:rsidRPr="001228B6" w:rsidRDefault="00B21AA8" w:rsidP="001228B6">
            <w:pPr>
              <w:spacing w:before="240" w:after="240" w:line="276" w:lineRule="auto"/>
              <w:jc w:val="center"/>
              <w:rPr>
                <w:rFonts w:ascii="Times New Roman" w:hAnsi="Times New Roman" w:cs="Times New Roman"/>
                <w:bCs/>
                <w:sz w:val="28"/>
                <w:szCs w:val="28"/>
              </w:rPr>
            </w:pPr>
            <w:r w:rsidRPr="001228B6">
              <w:rPr>
                <w:rFonts w:ascii="Times New Roman" w:hAnsi="Times New Roman" w:cs="Times New Roman"/>
                <w:bCs/>
                <w:sz w:val="28"/>
                <w:szCs w:val="28"/>
              </w:rPr>
              <w:t>G</w:t>
            </w:r>
            <w:r w:rsidRPr="001228B6">
              <w:rPr>
                <w:rFonts w:ascii="Times New Roman" w:hAnsi="Times New Roman" w:cs="Times New Roman"/>
                <w:bCs/>
                <w:sz w:val="28"/>
                <w:szCs w:val="28"/>
              </w:rPr>
              <w:t>iải quyết tố cáo tại cấp xã</w:t>
            </w:r>
          </w:p>
        </w:tc>
        <w:tc>
          <w:tcPr>
            <w:tcW w:w="1996" w:type="dxa"/>
            <w:shd w:val="clear" w:color="auto" w:fill="auto"/>
          </w:tcPr>
          <w:p w:rsidR="00B21AA8" w:rsidRPr="001228B6" w:rsidRDefault="00B21AA8" w:rsidP="001228B6">
            <w:pPr>
              <w:spacing w:before="240" w:after="240" w:line="276" w:lineRule="auto"/>
              <w:jc w:val="center"/>
              <w:rPr>
                <w:rFonts w:ascii="Times New Roman" w:hAnsi="Times New Roman" w:cs="Times New Roman"/>
                <w:bCs/>
                <w:sz w:val="28"/>
                <w:szCs w:val="28"/>
              </w:rPr>
            </w:pPr>
            <w:r w:rsidRPr="001228B6">
              <w:rPr>
                <w:rFonts w:ascii="Times New Roman" w:hAnsi="Times New Roman" w:cs="Times New Roman"/>
                <w:bCs/>
                <w:sz w:val="28"/>
                <w:szCs w:val="28"/>
              </w:rPr>
              <w:t>02</w:t>
            </w:r>
          </w:p>
        </w:tc>
      </w:tr>
    </w:tbl>
    <w:p w:rsidR="00B21AA8" w:rsidRPr="00B21AA8" w:rsidRDefault="00B21AA8" w:rsidP="003C269D">
      <w:pPr>
        <w:spacing w:line="276" w:lineRule="auto"/>
        <w:ind w:firstLine="720"/>
        <w:jc w:val="both"/>
        <w:rPr>
          <w:rFonts w:ascii="Times New Roman" w:hAnsi="Times New Roman" w:cs="Times New Roman"/>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p>
    <w:p w:rsidR="00B21AA8" w:rsidRDefault="00B21AA8" w:rsidP="003C269D">
      <w:pPr>
        <w:spacing w:line="276" w:lineRule="auto"/>
        <w:ind w:firstLine="720"/>
        <w:jc w:val="both"/>
        <w:rPr>
          <w:rFonts w:ascii="Times New Roman" w:hAnsi="Times New Roman" w:cs="Times New Roman"/>
          <w:b/>
          <w:bCs/>
          <w:sz w:val="28"/>
          <w:szCs w:val="28"/>
        </w:rPr>
      </w:pPr>
      <w:bookmarkStart w:id="0" w:name="_GoBack"/>
      <w:bookmarkEnd w:id="0"/>
    </w:p>
    <w:p w:rsidR="00B21AA8" w:rsidRDefault="00B21AA8" w:rsidP="003C269D">
      <w:pPr>
        <w:spacing w:line="276" w:lineRule="auto"/>
        <w:ind w:firstLine="720"/>
        <w:jc w:val="both"/>
        <w:rPr>
          <w:rFonts w:ascii="Times New Roman" w:hAnsi="Times New Roman" w:cs="Times New Roman"/>
          <w:b/>
          <w:bCs/>
          <w:sz w:val="28"/>
          <w:szCs w:val="28"/>
        </w:rPr>
      </w:pPr>
    </w:p>
    <w:p w:rsidR="00AC7343" w:rsidRPr="003C269D" w:rsidRDefault="00B21AA8" w:rsidP="003C269D">
      <w:pPr>
        <w:spacing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AC7343" w:rsidRPr="003C269D">
        <w:rPr>
          <w:rFonts w:ascii="Times New Roman" w:hAnsi="Times New Roman" w:cs="Times New Roman"/>
          <w:b/>
          <w:bCs/>
          <w:sz w:val="28"/>
          <w:szCs w:val="28"/>
        </w:rPr>
        <w:t>. Thủ tục giải quyết tố cáo tại cấp xã</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b/>
          <w:bCs/>
          <w:sz w:val="28"/>
          <w:szCs w:val="28"/>
        </w:rPr>
        <w:t xml:space="preserve">Trình tự thực hiện: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b/>
          <w:bCs/>
          <w:sz w:val="28"/>
          <w:szCs w:val="28"/>
        </w:rPr>
        <w:t>Bước 1:</w:t>
      </w:r>
      <w:r w:rsidRPr="003C269D">
        <w:rPr>
          <w:rFonts w:ascii="Times New Roman" w:hAnsi="Times New Roman" w:cs="Times New Roman"/>
          <w:sz w:val="28"/>
          <w:szCs w:val="28"/>
        </w:rPr>
        <w:t xml:space="preserve"> Thụ lý tố cáo 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a) Tố cáo được thực hiện </w:t>
      </w:r>
      <w:proofErr w:type="gramStart"/>
      <w:r w:rsidRPr="003C269D">
        <w:rPr>
          <w:rFonts w:ascii="Times New Roman" w:hAnsi="Times New Roman" w:cs="Times New Roman"/>
          <w:sz w:val="28"/>
          <w:szCs w:val="28"/>
        </w:rPr>
        <w:t>theo</w:t>
      </w:r>
      <w:proofErr w:type="gramEnd"/>
      <w:r w:rsidRPr="003C269D">
        <w:rPr>
          <w:rFonts w:ascii="Times New Roman" w:hAnsi="Times New Roman" w:cs="Times New Roman"/>
          <w:sz w:val="28"/>
          <w:szCs w:val="28"/>
        </w:rPr>
        <w:t xml:space="preserve"> quy định tại Điều 23 Luật Tố cáo 2018: </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sz w:val="28"/>
          <w:szCs w:val="28"/>
        </w:rPr>
        <w:t>+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b) Người tố cáo có đủ năng lực hành </w:t>
      </w:r>
      <w:proofErr w:type="gramStart"/>
      <w:r w:rsidRPr="003C269D">
        <w:rPr>
          <w:rFonts w:ascii="Times New Roman" w:hAnsi="Times New Roman" w:cs="Times New Roman"/>
          <w:sz w:val="28"/>
          <w:szCs w:val="28"/>
        </w:rPr>
        <w:t>vi</w:t>
      </w:r>
      <w:proofErr w:type="gramEnd"/>
      <w:r w:rsidRPr="003C269D">
        <w:rPr>
          <w:rFonts w:ascii="Times New Roman" w:hAnsi="Times New Roman" w:cs="Times New Roman"/>
          <w:sz w:val="28"/>
          <w:szCs w:val="28"/>
        </w:rPr>
        <w:t xml:space="preserve"> dân sự; trường hợp không có đủ năng lực hành vi dân sự thì phải có người đại diện theo quy định của pháp luật;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c) Vụ việc thuộc thẩm quyền giải quyết tố cáo của cơ quan, tổ chức, cá nhân tiếp nhận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d) Nội dung tố cáo có cơ sở để xác định người </w:t>
      </w:r>
      <w:proofErr w:type="gramStart"/>
      <w:r w:rsidRPr="003C269D">
        <w:rPr>
          <w:rFonts w:ascii="Times New Roman" w:hAnsi="Times New Roman" w:cs="Times New Roman"/>
          <w:sz w:val="28"/>
          <w:szCs w:val="28"/>
        </w:rPr>
        <w:t>vi</w:t>
      </w:r>
      <w:proofErr w:type="gramEnd"/>
      <w:r w:rsidRPr="003C269D">
        <w:rPr>
          <w:rFonts w:ascii="Times New Roman" w:hAnsi="Times New Roman" w:cs="Times New Roman"/>
          <w:sz w:val="28"/>
          <w:szCs w:val="28"/>
        </w:rPr>
        <w:t xml:space="preserve">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w:t>
      </w:r>
      <w:proofErr w:type="gramStart"/>
      <w:r w:rsidRPr="003C269D">
        <w:rPr>
          <w:rFonts w:ascii="Times New Roman" w:hAnsi="Times New Roman" w:cs="Times New Roman"/>
          <w:sz w:val="28"/>
          <w:szCs w:val="28"/>
        </w:rPr>
        <w:t>Trong thời hạn 05 ngày làm việc kể từ ngày ra quyết định thụ lý tố cáo, người giải quyết tố cáo có trách nhiệm thông báo cho người tố cáo và thông báo về nội dung tố cáo cho người bị tố cáo biết.</w:t>
      </w:r>
      <w:proofErr w:type="gramEnd"/>
      <w:r w:rsidRPr="003C269D">
        <w:rPr>
          <w:rFonts w:ascii="Times New Roman" w:hAnsi="Times New Roman" w:cs="Times New Roman"/>
          <w:sz w:val="28"/>
          <w:szCs w:val="28"/>
        </w:rPr>
        <w:t xml:space="preserve"> </w:t>
      </w:r>
    </w:p>
    <w:p w:rsidR="00AC7343"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b/>
          <w:bCs/>
          <w:sz w:val="28"/>
          <w:szCs w:val="28"/>
        </w:rPr>
        <w:lastRenderedPageBreak/>
        <w:t>Bước 2:</w:t>
      </w:r>
      <w:r w:rsidRPr="003C269D">
        <w:rPr>
          <w:rFonts w:ascii="Times New Roman" w:hAnsi="Times New Roman" w:cs="Times New Roman"/>
          <w:sz w:val="28"/>
          <w:szCs w:val="28"/>
        </w:rPr>
        <w:t xml:space="preserve"> Xác minh nội dung tố</w:t>
      </w:r>
      <w:r>
        <w:rPr>
          <w:rFonts w:ascii="Times New Roman" w:hAnsi="Times New Roman" w:cs="Times New Roman"/>
          <w:sz w:val="28"/>
          <w:szCs w:val="28"/>
        </w:rPr>
        <w:t xml:space="preserve"> cáo</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1. Chủ tịch UBND xã tiến hành xác minh nội dung tố cáo hoặc giao cho công chức cấp xã tiến hành các minh (gọi </w:t>
      </w:r>
      <w:proofErr w:type="gramStart"/>
      <w:r w:rsidRPr="003C269D">
        <w:rPr>
          <w:rFonts w:ascii="Times New Roman" w:hAnsi="Times New Roman" w:cs="Times New Roman"/>
          <w:sz w:val="28"/>
          <w:szCs w:val="28"/>
        </w:rPr>
        <w:t>chung</w:t>
      </w:r>
      <w:proofErr w:type="gramEnd"/>
      <w:r w:rsidRPr="003C269D">
        <w:rPr>
          <w:rFonts w:ascii="Times New Roman" w:hAnsi="Times New Roman" w:cs="Times New Roman"/>
          <w:sz w:val="28"/>
          <w:szCs w:val="28"/>
        </w:rPr>
        <w:t xml:space="preserve"> là người xác minh nội dung tố cáo). Việc giao xác minh nội dung tố cáo phải thực hiện bằng văn bản.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2. Trường hợp người giải quyết tố cáo giao cho công chức cấp xã xác minh nội dung tố cáo thì văn bản giao xác minh nội dung tố cáo thực hiện theo quy định tại khoản 2 Điều 31 Luật Tố cáo. </w:t>
      </w:r>
    </w:p>
    <w:p w:rsidR="00AC7343"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4. Người xác minh nội dung tố cáo phải tiến hành các biện pháp cần thiết để </w:t>
      </w:r>
      <w:proofErr w:type="gramStart"/>
      <w:r w:rsidRPr="003C269D">
        <w:rPr>
          <w:rFonts w:ascii="Times New Roman" w:hAnsi="Times New Roman" w:cs="Times New Roman"/>
          <w:sz w:val="28"/>
          <w:szCs w:val="28"/>
        </w:rPr>
        <w:t>thu</w:t>
      </w:r>
      <w:proofErr w:type="gramEnd"/>
      <w:r w:rsidRPr="003C269D">
        <w:rPr>
          <w:rFonts w:ascii="Times New Roman" w:hAnsi="Times New Roman" w:cs="Times New Roman"/>
          <w:sz w:val="28"/>
          <w:szCs w:val="28"/>
        </w:rPr>
        <w:t xml:space="preserve"> thập thông tin, tài liệu, làm rõ nội dung tố cáo. Thông tin, tài liệu </w:t>
      </w:r>
      <w:proofErr w:type="gramStart"/>
      <w:r w:rsidRPr="003C269D">
        <w:rPr>
          <w:rFonts w:ascii="Times New Roman" w:hAnsi="Times New Roman" w:cs="Times New Roman"/>
          <w:sz w:val="28"/>
          <w:szCs w:val="28"/>
        </w:rPr>
        <w:t>thu</w:t>
      </w:r>
      <w:proofErr w:type="gramEnd"/>
      <w:r w:rsidRPr="003C269D">
        <w:rPr>
          <w:rFonts w:ascii="Times New Roman" w:hAnsi="Times New Roman" w:cs="Times New Roman"/>
          <w:sz w:val="28"/>
          <w:szCs w:val="28"/>
        </w:rPr>
        <w:t xml:space="preserve"> thập phải được ghi chép thành văn bản, khi cần thiết thì lập thành biên bản, được lưu giữ trong hồ sơ vụ việc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5. Trong quá trình xác minh, người xác minh nội dung tố cáo phải tạo điều kiện để người bị tố cáo giải trình, đưa ra các chứng cứ để chứng minh tính đúng, sai của nội dung cần xác minh.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6. Người xác minh nội dung tố cáo được thực hiện các quyền và nghĩa vụ quy định tại các điểm a, b, c, d khoản 1 và các điểm a, b, c khoản 2 Điều 11 của Luật Tố cáo 2018 theo phân công của người giải quyết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7. Kết thúc việc xác minh nội dung tố cáo, người được giao xác minh phải có văn bản báo cáo người giải quyết tố cáo về kết quả xác minh nội dung tố cáo và kiến nghị biện pháp xử lý.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b/>
          <w:bCs/>
          <w:sz w:val="28"/>
          <w:szCs w:val="28"/>
        </w:rPr>
        <w:t>Bước 3:</w:t>
      </w:r>
      <w:r w:rsidRPr="003C269D">
        <w:rPr>
          <w:rFonts w:ascii="Times New Roman" w:hAnsi="Times New Roman" w:cs="Times New Roman"/>
          <w:sz w:val="28"/>
          <w:szCs w:val="28"/>
        </w:rPr>
        <w:t xml:space="preserve"> Kết luận nội dung tố cáo </w:t>
      </w:r>
      <w:proofErr w:type="gramStart"/>
      <w:r w:rsidRPr="003C269D">
        <w:rPr>
          <w:rFonts w:ascii="Times New Roman" w:hAnsi="Times New Roman" w:cs="Times New Roman"/>
          <w:sz w:val="28"/>
          <w:szCs w:val="28"/>
        </w:rPr>
        <w:t>Theo quy định tại Điều 35 Luật Tố cáo 2018 và Điều 17 Nghị định số 31/2019/NĐ-CP</w:t>
      </w:r>
      <w:proofErr w:type="gramEnd"/>
      <w:r w:rsidRPr="003C269D">
        <w:rPr>
          <w:rFonts w:ascii="Times New Roman" w:hAnsi="Times New Roman" w:cs="Times New Roman"/>
          <w:sz w:val="28"/>
          <w:szCs w:val="28"/>
        </w:rPr>
        <w:t xml:space="preserve">: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a) Kết quả xác minh nội dung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b) Căn cứ pháp luật để xác định có hay không có hành </w:t>
      </w:r>
      <w:proofErr w:type="gramStart"/>
      <w:r w:rsidRPr="003C269D">
        <w:rPr>
          <w:rFonts w:ascii="Times New Roman" w:hAnsi="Times New Roman" w:cs="Times New Roman"/>
          <w:sz w:val="28"/>
          <w:szCs w:val="28"/>
        </w:rPr>
        <w:t>vi</w:t>
      </w:r>
      <w:proofErr w:type="gramEnd"/>
      <w:r w:rsidRPr="003C269D">
        <w:rPr>
          <w:rFonts w:ascii="Times New Roman" w:hAnsi="Times New Roman" w:cs="Times New Roman"/>
          <w:sz w:val="28"/>
          <w:szCs w:val="28"/>
        </w:rPr>
        <w:t xml:space="preserve"> vi phạm pháp luật;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c) Kết luận về nội dung tố cáo là đúng, đúng một phần hoặc tố cáo sai sự thật; xác định trách nhiệm của từng cơ quan, tổ chức, cá nhân liên quan đến nội dung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lastRenderedPageBreak/>
        <w:t xml:space="preserve">d) Các biện pháp xử lý </w:t>
      </w:r>
      <w:proofErr w:type="gramStart"/>
      <w:r w:rsidRPr="003C269D">
        <w:rPr>
          <w:rFonts w:ascii="Times New Roman" w:hAnsi="Times New Roman" w:cs="Times New Roman"/>
          <w:sz w:val="28"/>
          <w:szCs w:val="28"/>
        </w:rPr>
        <w:t>theo</w:t>
      </w:r>
      <w:proofErr w:type="gramEnd"/>
      <w:r w:rsidRPr="003C269D">
        <w:rPr>
          <w:rFonts w:ascii="Times New Roman" w:hAnsi="Times New Roman" w:cs="Times New Roman"/>
          <w:sz w:val="28"/>
          <w:szCs w:val="28"/>
        </w:rPr>
        <w:t xml:space="preserve"> thẩm quyền cần thực hiện; kiến nghị cơ quan, tổ chức, cá nhân khác áp dụng các biện pháp xử lý theo thẩm quyền đối với cơ quan, tổ chức, cá nhân có vi phạm pháp luật;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b/>
          <w:bCs/>
          <w:sz w:val="28"/>
          <w:szCs w:val="28"/>
        </w:rPr>
        <w:t>Bước 4:</w:t>
      </w:r>
      <w:r w:rsidRPr="003C269D">
        <w:rPr>
          <w:rFonts w:ascii="Times New Roman" w:hAnsi="Times New Roman" w:cs="Times New Roman"/>
          <w:sz w:val="28"/>
          <w:szCs w:val="28"/>
        </w:rPr>
        <w:t xml:space="preserve"> Xử lý kết luận nội dung tố cáo </w:t>
      </w:r>
      <w:proofErr w:type="gramStart"/>
      <w:r w:rsidRPr="003C269D">
        <w:rPr>
          <w:rFonts w:ascii="Times New Roman" w:hAnsi="Times New Roman" w:cs="Times New Roman"/>
          <w:sz w:val="28"/>
          <w:szCs w:val="28"/>
        </w:rPr>
        <w:t>Theo quy định tại Điều 36 Luật Tố cáo 2018 và Điều 18 Nghị định số 31/2019/NĐ-CP</w:t>
      </w:r>
      <w:proofErr w:type="gramEnd"/>
      <w:r w:rsidRPr="003C269D">
        <w:rPr>
          <w:rFonts w:ascii="Times New Roman" w:hAnsi="Times New Roman" w:cs="Times New Roman"/>
          <w:sz w:val="28"/>
          <w:szCs w:val="28"/>
        </w:rPr>
        <w:t xml:space="preserve">: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1. Chậm nhất là 07 ngày làm việc kể từ ngày ban hành kết luận nội dung tố cáo, người giải quyết tố cáo căn cứ vào kết luận nội dung tố cáo tiến hành việc xử lý như sau: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b) Trường hợp kết luận người bị tố cáo </w:t>
      </w:r>
      <w:proofErr w:type="gramStart"/>
      <w:r w:rsidRPr="003C269D">
        <w:rPr>
          <w:rFonts w:ascii="Times New Roman" w:hAnsi="Times New Roman" w:cs="Times New Roman"/>
          <w:sz w:val="28"/>
          <w:szCs w:val="28"/>
        </w:rPr>
        <w:t>vi</w:t>
      </w:r>
      <w:proofErr w:type="gramEnd"/>
      <w:r w:rsidRPr="003C269D">
        <w:rPr>
          <w:rFonts w:ascii="Times New Roman" w:hAnsi="Times New Roman" w:cs="Times New Roman"/>
          <w:sz w:val="28"/>
          <w:szCs w:val="28"/>
        </w:rPr>
        <w:t xml:space="preserve"> phạm pháp luật trong việc thực hiện nhiệm vụ, công vụ thì áp dụng biện pháp xử lý theo thẩm quyền hoặc kiến nghị cơ quan, tổ chức, cá nhân có thẩm quyền xử lý theo quy định của pháp luật.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2. Trường hợp hành </w:t>
      </w:r>
      <w:proofErr w:type="gramStart"/>
      <w:r w:rsidRPr="003C269D">
        <w:rPr>
          <w:rFonts w:ascii="Times New Roman" w:hAnsi="Times New Roman" w:cs="Times New Roman"/>
          <w:sz w:val="28"/>
          <w:szCs w:val="28"/>
        </w:rPr>
        <w:t>vi</w:t>
      </w:r>
      <w:proofErr w:type="gramEnd"/>
      <w:r w:rsidRPr="003C269D">
        <w:rPr>
          <w:rFonts w:ascii="Times New Roman" w:hAnsi="Times New Roman" w:cs="Times New Roman"/>
          <w:sz w:val="28"/>
          <w:szCs w:val="28"/>
        </w:rPr>
        <w:t xml:space="preserve"> vi phạm của người bị tố cáo có dấu hiệu của tội phạm thì chuyển ngay hồ sơ vụ việc đến Cơ quan điều tra hoặc Viện kiểm sát nhân dân có thẩm quyền để xử lý theo quy định của pháp luật. </w:t>
      </w:r>
    </w:p>
    <w:p w:rsidR="00AC7343" w:rsidRPr="003C269D" w:rsidRDefault="00AC7343" w:rsidP="003C269D">
      <w:pPr>
        <w:spacing w:line="276" w:lineRule="auto"/>
        <w:ind w:firstLine="720"/>
        <w:jc w:val="both"/>
        <w:rPr>
          <w:rFonts w:ascii="Times New Roman" w:hAnsi="Times New Roman" w:cs="Times New Roman"/>
          <w:sz w:val="28"/>
          <w:szCs w:val="28"/>
        </w:rPr>
      </w:pPr>
      <w:r w:rsidRPr="003C269D">
        <w:rPr>
          <w:rFonts w:ascii="Times New Roman" w:hAnsi="Times New Roman" w:cs="Times New Roman"/>
          <w:sz w:val="28"/>
          <w:szCs w:val="28"/>
        </w:rPr>
        <w:t xml:space="preserve">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w:t>
      </w:r>
      <w:proofErr w:type="gramStart"/>
      <w:r w:rsidRPr="003C269D">
        <w:rPr>
          <w:rFonts w:ascii="Times New Roman" w:hAnsi="Times New Roman" w:cs="Times New Roman"/>
          <w:sz w:val="28"/>
          <w:szCs w:val="28"/>
        </w:rPr>
        <w:t>theo</w:t>
      </w:r>
      <w:proofErr w:type="gramEnd"/>
      <w:r w:rsidRPr="003C269D">
        <w:rPr>
          <w:rFonts w:ascii="Times New Roman" w:hAnsi="Times New Roman" w:cs="Times New Roman"/>
          <w:sz w:val="28"/>
          <w:szCs w:val="28"/>
        </w:rPr>
        <w:t xml:space="preserve"> dõi, đôn đốc hoặc giao cho cơ quan thanh tra nhà nước cùng cấp theo dõi, đôn đốc việc thực hiện kết luận nội dung tố </w:t>
      </w:r>
      <w:r w:rsidRPr="003C269D">
        <w:rPr>
          <w:rFonts w:ascii="Times New Roman" w:hAnsi="Times New Roman" w:cs="Times New Roman"/>
          <w:sz w:val="28"/>
          <w:szCs w:val="28"/>
        </w:rPr>
        <w:lastRenderedPageBreak/>
        <w:t>cáo. 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AC7343" w:rsidRPr="003C269D" w:rsidRDefault="00AC7343" w:rsidP="003C269D">
      <w:pPr>
        <w:spacing w:before="240"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15"/>
        <w:gridCol w:w="933"/>
        <w:gridCol w:w="1054"/>
        <w:gridCol w:w="6527"/>
      </w:tblGrid>
      <w:tr w:rsidR="00AC7343" w:rsidRPr="003C269D" w:rsidTr="00B16DB1">
        <w:tc>
          <w:tcPr>
            <w:tcW w:w="15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Hình thức nộp</w:t>
            </w:r>
          </w:p>
        </w:tc>
        <w:tc>
          <w:tcPr>
            <w:tcW w:w="2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Thời hạn giải quyết</w:t>
            </w:r>
          </w:p>
        </w:tc>
        <w:tc>
          <w:tcPr>
            <w:tcW w:w="35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Phí, lệ phí</w:t>
            </w:r>
          </w:p>
        </w:tc>
        <w:tc>
          <w:tcPr>
            <w:tcW w:w="3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Mô tả</w:t>
            </w: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Trực tuyến</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 xml:space="preserve">Khác </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Không gửi đơn tố cáo qua mạng</w:t>
            </w: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Dịch vụ bưu chính</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 xml:space="preserve">Khác </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 Tố cáo được thực hiện bằng đơn (gửi qua đường bưu điện hoặc gửi trực tiếp đến cơ quan, người có thẩm quyền giải quyết) - Tố cáo được trình bày trực tiếp với cơ quan, tổ chức, người có thẩm quyền.</w:t>
            </w: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Trực tiếp</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30 Ngày</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bl>
    <w:p w:rsidR="00AC7343" w:rsidRPr="003C269D" w:rsidRDefault="00AC7343" w:rsidP="003C269D">
      <w:pPr>
        <w:spacing w:before="240"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Thành phần hồ sơ: </w:t>
      </w:r>
    </w:p>
    <w:p w:rsidR="00AC7343" w:rsidRPr="003C269D" w:rsidRDefault="00AC7343" w:rsidP="003C269D">
      <w:pPr>
        <w:shd w:val="clear" w:color="auto" w:fill="F2F6F9"/>
        <w:spacing w:before="120"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3730"/>
        <w:gridCol w:w="4232"/>
        <w:gridCol w:w="1467"/>
      </w:tblGrid>
      <w:tr w:rsidR="00AC7343" w:rsidRPr="003C269D" w:rsidTr="00B16DB1">
        <w:tc>
          <w:tcPr>
            <w:tcW w:w="6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Tên giấy tờ</w:t>
            </w:r>
          </w:p>
        </w:tc>
        <w:tc>
          <w:tcPr>
            <w:tcW w:w="2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Mẫu đơn, tờ khai</w:t>
            </w:r>
          </w:p>
        </w:tc>
        <w:tc>
          <w:tcPr>
            <w:tcW w:w="2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Số lượng</w:t>
            </w: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Đơn tố cáo hoặc bản ghi lời tố cáo</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Mẫu ban hành kèm theo Nghị định số 31-2019-NĐ-CP.doc</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Bản chính: 1</w:t>
            </w:r>
            <w:r w:rsidRPr="003C269D">
              <w:rPr>
                <w:rFonts w:ascii="Times New Roman" w:hAnsi="Times New Roman" w:cs="Times New Roman"/>
                <w:sz w:val="28"/>
                <w:szCs w:val="28"/>
              </w:rPr>
              <w:br/>
              <w:t>Bản sao: 0</w:t>
            </w:r>
          </w:p>
        </w:tc>
      </w:tr>
    </w:tbl>
    <w:p w:rsidR="00AC7343" w:rsidRPr="003C269D" w:rsidRDefault="00AC7343" w:rsidP="003C269D">
      <w:pPr>
        <w:spacing w:before="240"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Đối tượng thực hiện: </w:t>
      </w:r>
      <w:r w:rsidRPr="003C269D">
        <w:rPr>
          <w:rFonts w:ascii="Times New Roman" w:hAnsi="Times New Roman" w:cs="Times New Roman"/>
          <w:sz w:val="28"/>
          <w:szCs w:val="28"/>
        </w:rPr>
        <w:t>Công dân Việt Nam, Người Việt Nam định cư ở nước ngoài, Người nước ngoài, Cán bộ, công chức, viên chức</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lastRenderedPageBreak/>
        <w:t xml:space="preserve">Cơ quan thực hiện: </w:t>
      </w:r>
      <w:r w:rsidRPr="003C269D">
        <w:rPr>
          <w:rFonts w:ascii="Times New Roman" w:hAnsi="Times New Roman" w:cs="Times New Roman"/>
          <w:sz w:val="28"/>
          <w:szCs w:val="28"/>
        </w:rPr>
        <w:t>Ủy ban nhân dân cấp xã</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Cơ quan có thẩm quyền: </w:t>
      </w:r>
      <w:r w:rsidRPr="003C269D">
        <w:rPr>
          <w:rFonts w:ascii="Times New Roman" w:hAnsi="Times New Roman" w:cs="Times New Roman"/>
          <w:sz w:val="28"/>
          <w:szCs w:val="28"/>
        </w:rPr>
        <w:t>Chủ tịch Ủy ban nhân dân xã</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Địa chỉ tiếp nhận HS: </w:t>
      </w:r>
      <w:r w:rsidRPr="003C269D">
        <w:rPr>
          <w:rFonts w:ascii="Times New Roman" w:hAnsi="Times New Roman" w:cs="Times New Roman"/>
          <w:sz w:val="28"/>
          <w:szCs w:val="28"/>
        </w:rPr>
        <w:t>Tại trụ sở cơ quan giải quyết tố cáo</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Cơ quan được ủy quyền: </w:t>
      </w:r>
      <w:r w:rsidRPr="003C269D">
        <w:rPr>
          <w:rFonts w:ascii="Times New Roman" w:hAnsi="Times New Roman" w:cs="Times New Roman"/>
          <w:sz w:val="28"/>
          <w:szCs w:val="28"/>
        </w:rPr>
        <w:t>Không có thông tin</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Cơ quan phối hợp: </w:t>
      </w:r>
      <w:r w:rsidRPr="003C269D">
        <w:rPr>
          <w:rFonts w:ascii="Times New Roman" w:hAnsi="Times New Roman" w:cs="Times New Roman"/>
          <w:sz w:val="28"/>
          <w:szCs w:val="28"/>
        </w:rPr>
        <w:t>Không có thông tin</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Kết quả thực hiện: </w:t>
      </w:r>
      <w:r w:rsidRPr="003C269D">
        <w:rPr>
          <w:rFonts w:ascii="Times New Roman" w:hAnsi="Times New Roman" w:cs="Times New Roman"/>
          <w:sz w:val="28"/>
          <w:szCs w:val="28"/>
        </w:rPr>
        <w:t>Kết luận nội dung tố cáo</w:t>
      </w:r>
    </w:p>
    <w:p w:rsidR="00AC7343" w:rsidRPr="003C269D" w:rsidRDefault="00AC7343" w:rsidP="003C269D">
      <w:pPr>
        <w:spacing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68"/>
        <w:gridCol w:w="3307"/>
        <w:gridCol w:w="1408"/>
        <w:gridCol w:w="2746"/>
      </w:tblGrid>
      <w:tr w:rsidR="00AC7343" w:rsidRPr="003C269D" w:rsidTr="00B16DB1">
        <w:tc>
          <w:tcPr>
            <w:tcW w:w="2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Số ký hiệu</w:t>
            </w:r>
          </w:p>
        </w:tc>
        <w:tc>
          <w:tcPr>
            <w:tcW w:w="35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Trích yếu</w:t>
            </w:r>
          </w:p>
        </w:tc>
        <w:tc>
          <w:tcPr>
            <w:tcW w:w="15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Ngày ban hành</w:t>
            </w:r>
          </w:p>
        </w:tc>
        <w:tc>
          <w:tcPr>
            <w:tcW w:w="3000" w:type="dxa"/>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jc w:val="center"/>
              <w:rPr>
                <w:rFonts w:ascii="Times New Roman" w:hAnsi="Times New Roman" w:cs="Times New Roman"/>
                <w:sz w:val="28"/>
                <w:szCs w:val="28"/>
              </w:rPr>
            </w:pPr>
            <w:r w:rsidRPr="003C269D">
              <w:rPr>
                <w:rFonts w:ascii="Times New Roman" w:hAnsi="Times New Roman" w:cs="Times New Roman"/>
                <w:b/>
                <w:bCs/>
                <w:sz w:val="28"/>
                <w:szCs w:val="28"/>
              </w:rPr>
              <w:t>Cơ quan ban hành</w:t>
            </w: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25/2018/QH14</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Luật 25/2018/QH14</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12-06-2018</w:t>
            </w:r>
          </w:p>
        </w:tc>
        <w:tc>
          <w:tcPr>
            <w:tcW w:w="0" w:type="auto"/>
          </w:tcPr>
          <w:p w:rsidR="00AC7343" w:rsidRPr="003C269D" w:rsidRDefault="00AC7343" w:rsidP="00B16DB1">
            <w:pPr>
              <w:rPr>
                <w:rFonts w:ascii="Times New Roman" w:hAnsi="Times New Roman" w:cs="Times New Roman"/>
                <w:sz w:val="28"/>
                <w:szCs w:val="28"/>
              </w:rPr>
            </w:pPr>
          </w:p>
        </w:tc>
      </w:tr>
      <w:tr w:rsidR="00AC7343" w:rsidRPr="003C269D" w:rsidTr="00B16DB1">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31/2019/NĐ-CP</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Nghị định 31/2019/NĐ-CP</w:t>
            </w:r>
          </w:p>
        </w:tc>
        <w:tc>
          <w:tcPr>
            <w:tcW w:w="0" w:type="auto"/>
          </w:tcPr>
          <w:p w:rsidR="00AC7343" w:rsidRPr="003C269D" w:rsidRDefault="00AC7343" w:rsidP="00B16DB1">
            <w:pPr>
              <w:rPr>
                <w:rFonts w:ascii="Times New Roman" w:hAnsi="Times New Roman" w:cs="Times New Roman"/>
                <w:sz w:val="28"/>
                <w:szCs w:val="28"/>
              </w:rPr>
            </w:pPr>
          </w:p>
          <w:p w:rsidR="00AC7343" w:rsidRPr="003C269D" w:rsidRDefault="00AC7343" w:rsidP="00B16DB1">
            <w:pPr>
              <w:spacing w:line="276" w:lineRule="auto"/>
              <w:rPr>
                <w:rFonts w:ascii="Times New Roman" w:hAnsi="Times New Roman" w:cs="Times New Roman"/>
                <w:sz w:val="28"/>
                <w:szCs w:val="28"/>
              </w:rPr>
            </w:pPr>
            <w:r w:rsidRPr="003C269D">
              <w:rPr>
                <w:rFonts w:ascii="Times New Roman" w:hAnsi="Times New Roman" w:cs="Times New Roman"/>
                <w:sz w:val="28"/>
                <w:szCs w:val="28"/>
              </w:rPr>
              <w:t>10-04-2019</w:t>
            </w:r>
          </w:p>
        </w:tc>
        <w:tc>
          <w:tcPr>
            <w:tcW w:w="0" w:type="auto"/>
          </w:tcPr>
          <w:p w:rsidR="00AC7343" w:rsidRPr="003C269D" w:rsidRDefault="00AC7343" w:rsidP="00B16DB1">
            <w:pPr>
              <w:rPr>
                <w:rFonts w:ascii="Times New Roman" w:hAnsi="Times New Roman" w:cs="Times New Roman"/>
                <w:sz w:val="28"/>
                <w:szCs w:val="28"/>
              </w:rPr>
            </w:pPr>
          </w:p>
        </w:tc>
      </w:tr>
    </w:tbl>
    <w:p w:rsidR="00AC7343" w:rsidRPr="003C269D" w:rsidRDefault="00AC7343" w:rsidP="003C269D">
      <w:pPr>
        <w:spacing w:before="240" w:line="276" w:lineRule="auto"/>
        <w:jc w:val="both"/>
        <w:rPr>
          <w:rFonts w:ascii="Times New Roman" w:hAnsi="Times New Roman" w:cs="Times New Roman"/>
          <w:sz w:val="28"/>
          <w:szCs w:val="28"/>
        </w:rPr>
      </w:pPr>
      <w:r w:rsidRPr="003C269D">
        <w:rPr>
          <w:rFonts w:ascii="Times New Roman" w:hAnsi="Times New Roman" w:cs="Times New Roman"/>
          <w:b/>
          <w:bCs/>
          <w:sz w:val="28"/>
          <w:szCs w:val="28"/>
        </w:rPr>
        <w:t xml:space="preserve">Yêu cầu, điều kiện thực hiện: </w:t>
      </w:r>
      <w:r w:rsidRPr="003C269D">
        <w:rPr>
          <w:rFonts w:ascii="Times New Roman" w:hAnsi="Times New Roman" w:cs="Times New Roman"/>
          <w:sz w:val="28"/>
          <w:szCs w:val="28"/>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AC7343" w:rsidRPr="003C269D" w:rsidRDefault="00AC7343">
      <w:pPr>
        <w:spacing w:line="276" w:lineRule="auto"/>
        <w:jc w:val="both"/>
        <w:rPr>
          <w:rFonts w:ascii="Times New Roman" w:hAnsi="Times New Roman" w:cs="Times New Roman"/>
          <w:sz w:val="28"/>
          <w:szCs w:val="28"/>
        </w:rPr>
      </w:pPr>
    </w:p>
    <w:sectPr w:rsidR="00AC7343" w:rsidRPr="003C269D" w:rsidSect="003C269D">
      <w:footerReference w:type="default" r:id="rId7"/>
      <w:pgSz w:w="12240" w:h="15840"/>
      <w:pgMar w:top="1137" w:right="1137" w:bottom="113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B6" w:rsidRDefault="001228B6">
      <w:r>
        <w:separator/>
      </w:r>
    </w:p>
  </w:endnote>
  <w:endnote w:type="continuationSeparator" w:id="0">
    <w:p w:rsidR="001228B6" w:rsidRDefault="0012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43" w:rsidRDefault="00AC7343" w:rsidP="001013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AA8">
      <w:rPr>
        <w:rStyle w:val="PageNumber"/>
        <w:noProof/>
      </w:rPr>
      <w:t>2</w:t>
    </w:r>
    <w:r>
      <w:rPr>
        <w:rStyle w:val="PageNumber"/>
      </w:rPr>
      <w:fldChar w:fldCharType="end"/>
    </w:r>
  </w:p>
  <w:p w:rsidR="00AC7343" w:rsidRDefault="00AC7343" w:rsidP="003C26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B6" w:rsidRDefault="001228B6">
      <w:r>
        <w:separator/>
      </w:r>
    </w:p>
  </w:footnote>
  <w:footnote w:type="continuationSeparator" w:id="0">
    <w:p w:rsidR="001228B6" w:rsidRDefault="0012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51E"/>
    <w:rsid w:val="00101321"/>
    <w:rsid w:val="001228B6"/>
    <w:rsid w:val="002534BF"/>
    <w:rsid w:val="003C269D"/>
    <w:rsid w:val="00440EEC"/>
    <w:rsid w:val="00732216"/>
    <w:rsid w:val="00AC7343"/>
    <w:rsid w:val="00B16DB1"/>
    <w:rsid w:val="00B21AA8"/>
    <w:rsid w:val="00D8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9D"/>
    <w:pPr>
      <w:tabs>
        <w:tab w:val="center" w:pos="4320"/>
        <w:tab w:val="right" w:pos="8640"/>
      </w:tabs>
    </w:pPr>
  </w:style>
  <w:style w:type="character" w:customStyle="1" w:styleId="FooterChar">
    <w:name w:val="Footer Char"/>
    <w:link w:val="Footer"/>
    <w:uiPriority w:val="99"/>
    <w:semiHidden/>
    <w:rsid w:val="00BF2289"/>
    <w:rPr>
      <w:rFonts w:cs="Calibri"/>
    </w:rPr>
  </w:style>
  <w:style w:type="character" w:styleId="PageNumber">
    <w:name w:val="page number"/>
    <w:basedOn w:val="DefaultParagraphFont"/>
    <w:uiPriority w:val="99"/>
    <w:rsid w:val="003C269D"/>
  </w:style>
  <w:style w:type="table" w:styleId="TableGrid">
    <w:name w:val="Table Grid"/>
    <w:basedOn w:val="TableNormal"/>
    <w:locked/>
    <w:rsid w:val="00B2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1552</Words>
  <Characters>8852</Characters>
  <Application>Microsoft Office Word</Application>
  <DocSecurity>0</DocSecurity>
  <Lines>73</Lines>
  <Paragraphs>20</Paragraphs>
  <ScaleCrop>false</ScaleCrop>
  <Company>ABC</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thủ tục hành chính</dc:title>
  <dc:subject/>
  <dc:creator>Apache POI</dc:creator>
  <cp:keywords/>
  <dc:description/>
  <cp:lastModifiedBy>win 7</cp:lastModifiedBy>
  <cp:revision>3</cp:revision>
  <cp:lastPrinted>2021-10-25T02:22:00Z</cp:lastPrinted>
  <dcterms:created xsi:type="dcterms:W3CDTF">2021-10-25T02:25:00Z</dcterms:created>
  <dcterms:modified xsi:type="dcterms:W3CDTF">2022-02-15T01:10:00Z</dcterms:modified>
</cp:coreProperties>
</file>